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模板《2025年单位职工个人公积金缴费基数汇总统计台账》中</w:t>
      </w:r>
      <w:r>
        <w:rPr>
          <w:rFonts w:hint="eastAsia"/>
          <w:color w:val="auto"/>
          <w:highlight w:val="yellow"/>
          <w:lang w:val="en-US" w:eastAsia="zh-CN"/>
        </w:rPr>
        <w:t>前7行表头，注意一定不能变动</w:t>
      </w:r>
      <w:r>
        <w:rPr>
          <w:rFonts w:hint="eastAsia"/>
          <w:lang w:val="en-US" w:eastAsia="zh-CN"/>
        </w:rPr>
        <w:t>，一旦删除或增加表头行数会造成批量导入失败。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7960" cy="1444625"/>
            <wp:effectExtent l="0" t="0" r="889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44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前4列序号、姓名、身份证号码、申报住房公积金月基数</w:t>
      </w:r>
      <w:r>
        <w:rPr>
          <w:rFonts w:hint="eastAsia"/>
          <w:highlight w:val="yellow"/>
          <w:lang w:val="en-US" w:eastAsia="zh-CN"/>
        </w:rPr>
        <w:t>顺序一定不能调整</w:t>
      </w:r>
      <w:r>
        <w:rPr>
          <w:rFonts w:hint="eastAsia"/>
          <w:lang w:val="en-US" w:eastAsia="zh-CN"/>
        </w:rPr>
        <w:t>，顺序调整后也会导致读取不到数据，造成导入失败。</w:t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93360" cy="4697095"/>
            <wp:effectExtent l="0" t="0" r="254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93360" cy="469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注意：模板《2025年单位职工个人公积金缴费基数汇总统计台账》申报住房公积金月基数一定为</w:t>
      </w:r>
      <w:r>
        <w:rPr>
          <w:rFonts w:hint="eastAsia"/>
          <w:highlight w:val="yellow"/>
          <w:lang w:val="en-US" w:eastAsia="zh-CN"/>
        </w:rPr>
        <w:t>正整数。</w:t>
      </w:r>
      <w:bookmarkStart w:id="0" w:name="_GoBack"/>
      <w:bookmarkEnd w:id="0"/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批量导入时，导入条数与模板中职工数一定要保持一致。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B8B341B"/>
    <w:multiLevelType w:val="singleLevel"/>
    <w:tmpl w:val="FB8B341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234891"/>
    <w:rsid w:val="24DE2891"/>
    <w:rsid w:val="2EF440AD"/>
    <w:rsid w:val="433C2819"/>
    <w:rsid w:val="501E160A"/>
    <w:rsid w:val="663B7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2025-07-03T02:56:00Z</dcterms:created>
  <dc:creator>Administrator</dc:creator>
  <cp:lastModifiedBy>Administrator</cp:lastModifiedBy>
  <dcterms:modified xsi:type="dcterms:W3CDTF">2025-07-09T05:13:22Z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